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914" w:rsidRDefault="00483914" w:rsidP="000525B0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562"/>
        <w:gridCol w:w="8222"/>
      </w:tblGrid>
      <w:tr w:rsidR="00483914" w:rsidRPr="00483914" w:rsidTr="00841412">
        <w:tc>
          <w:tcPr>
            <w:tcW w:w="8784" w:type="dxa"/>
            <w:gridSpan w:val="2"/>
          </w:tcPr>
          <w:p w:rsidR="00483914" w:rsidRPr="00483914" w:rsidRDefault="00483914" w:rsidP="004839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3914">
              <w:rPr>
                <w:rFonts w:ascii="Arial" w:hAnsi="Arial" w:cs="Arial"/>
                <w:b/>
                <w:sz w:val="24"/>
                <w:szCs w:val="24"/>
              </w:rPr>
              <w:t>PROCEDIMENTO PRELIMINAR</w:t>
            </w:r>
          </w:p>
        </w:tc>
      </w:tr>
      <w:tr w:rsidR="00483914" w:rsidRPr="00483914" w:rsidTr="00483914">
        <w:tc>
          <w:tcPr>
            <w:tcW w:w="562" w:type="dxa"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892" w:rsidRPr="00483914" w:rsidTr="00483914">
        <w:tc>
          <w:tcPr>
            <w:tcW w:w="562" w:type="dxa"/>
            <w:vMerge w:val="restart"/>
            <w:textDirection w:val="btLr"/>
          </w:tcPr>
          <w:p w:rsidR="00C02892" w:rsidRPr="00483914" w:rsidRDefault="00C02892" w:rsidP="00C02892">
            <w:pPr>
              <w:ind w:left="36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914">
              <w:rPr>
                <w:rFonts w:ascii="Arial" w:hAnsi="Arial" w:cs="Arial"/>
                <w:sz w:val="20"/>
                <w:szCs w:val="20"/>
              </w:rPr>
              <w:t>Relato (modelo 1)</w:t>
            </w: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b/>
                <w:sz w:val="24"/>
                <w:szCs w:val="24"/>
              </w:rPr>
              <w:t>Análise da denúncia e Juízo de Admissibilidade</w:t>
            </w:r>
            <w:r w:rsidRPr="004839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83914">
              <w:rPr>
                <w:rFonts w:ascii="Arial" w:hAnsi="Arial" w:cs="Arial"/>
                <w:sz w:val="20"/>
                <w:szCs w:val="24"/>
              </w:rPr>
              <w:t>(Art. 21, da Resolução n.º 10, de 29 de setembro de 2008)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pt-BR"/>
              </w:rPr>
            </w:pPr>
            <w:r w:rsidRPr="00483914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  <w:t>Descrição da conduta;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pt-BR"/>
              </w:rPr>
            </w:pPr>
            <w:r w:rsidRPr="00483914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  <w:t>Indicação da autoria;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</w:pPr>
            <w:r w:rsidRPr="00483914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  <w:t>Apresentação dos elementos de prova ou indicação de onde podem ser encontrados</w:t>
            </w:r>
            <w:r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  <w:t>; e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0"/>
                <w:szCs w:val="20"/>
                <w:bdr w:val="none" w:sz="0" w:space="0" w:color="auto" w:frame="1"/>
                <w:lang w:eastAsia="pt-BR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3"/>
              </w:numPr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pt-BR"/>
              </w:rPr>
            </w:pPr>
            <w:r w:rsidRPr="00483914"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  <w:t>Recorte ético</w:t>
            </w:r>
            <w:r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bdr w:val="none" w:sz="0" w:space="0" w:color="auto" w:frame="1"/>
                <w:lang w:eastAsia="pt-BR"/>
              </w:rPr>
              <w:t>.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0"/>
                <w:szCs w:val="20"/>
                <w:lang w:eastAsia="pt-BR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jc w:val="both"/>
              <w:textAlignment w:val="baseline"/>
              <w:outlineLvl w:val="5"/>
              <w:rPr>
                <w:rFonts w:ascii="Arial" w:eastAsia="Times New Roman" w:hAnsi="Arial" w:cs="Arial"/>
                <w:bCs/>
                <w:color w:val="2B2B2B"/>
                <w:sz w:val="24"/>
                <w:szCs w:val="24"/>
                <w:lang w:eastAsia="pt-BR"/>
              </w:rPr>
            </w:pP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83914">
              <w:rPr>
                <w:rFonts w:ascii="Arial" w:hAnsi="Arial" w:cs="Arial"/>
                <w:b/>
                <w:sz w:val="24"/>
                <w:szCs w:val="24"/>
              </w:rPr>
              <w:t>Admissível (NÃO) -&gt; Arquivamento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83914">
              <w:rPr>
                <w:rFonts w:ascii="Arial" w:hAnsi="Arial" w:cs="Arial"/>
                <w:b/>
                <w:sz w:val="24"/>
                <w:szCs w:val="24"/>
              </w:rPr>
              <w:t xml:space="preserve">Admissível (SIM) -&gt; Abertura do Procedimento </w:t>
            </w:r>
            <w:r w:rsidRPr="00483914">
              <w:rPr>
                <w:rFonts w:ascii="Arial" w:hAnsi="Arial" w:cs="Arial"/>
                <w:sz w:val="24"/>
                <w:szCs w:val="24"/>
              </w:rPr>
              <w:t>com a Ata de Instauração e enquadramento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 xml:space="preserve">Notificação ao denunciado para reconsideração em 10 dias 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 xml:space="preserve">Comissão levantar provas documentais 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 xml:space="preserve">Comissão realizar diligências 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>Designação de um relator para fazer Relatório Preliminar</w:t>
            </w:r>
          </w:p>
        </w:tc>
      </w:tr>
      <w:tr w:rsidR="00C02892" w:rsidRPr="00483914" w:rsidTr="00483914">
        <w:tc>
          <w:tcPr>
            <w:tcW w:w="562" w:type="dxa"/>
            <w:vMerge/>
            <w:textDirection w:val="btLr"/>
          </w:tcPr>
          <w:p w:rsidR="00C02892" w:rsidRPr="00483914" w:rsidRDefault="00C02892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2" w:type="dxa"/>
          </w:tcPr>
          <w:p w:rsidR="00C02892" w:rsidRPr="00483914" w:rsidRDefault="00C02892" w:rsidP="003558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14" w:rsidRPr="00483914" w:rsidTr="00483914">
        <w:tc>
          <w:tcPr>
            <w:tcW w:w="562" w:type="dxa"/>
            <w:vMerge w:val="restart"/>
            <w:textDirection w:val="btLr"/>
          </w:tcPr>
          <w:p w:rsidR="00483914" w:rsidRPr="00483914" w:rsidRDefault="001A6A68" w:rsidP="00483914">
            <w:pPr>
              <w:ind w:left="360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Relatório (modelo </w:t>
            </w:r>
            <w:r w:rsidR="00C02892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b/>
                <w:sz w:val="24"/>
                <w:szCs w:val="24"/>
              </w:rPr>
              <w:t>Análise processual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>Reconsideração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>Provas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>resultado das diligências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>Formatação do Relatório Preliminar sugerindo: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 xml:space="preserve">Arquivamento 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 xml:space="preserve">Proposta de ACPP </w:t>
            </w:r>
          </w:p>
        </w:tc>
      </w:tr>
      <w:tr w:rsidR="00483914" w:rsidRPr="00483914" w:rsidTr="00483914">
        <w:tc>
          <w:tcPr>
            <w:tcW w:w="562" w:type="dxa"/>
            <w:vMerge/>
          </w:tcPr>
          <w:p w:rsidR="00483914" w:rsidRPr="00483914" w:rsidRDefault="00483914" w:rsidP="00483914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2" w:type="dxa"/>
          </w:tcPr>
          <w:p w:rsidR="00483914" w:rsidRPr="00483914" w:rsidRDefault="00483914" w:rsidP="003558B5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483914">
              <w:rPr>
                <w:rFonts w:ascii="Arial" w:hAnsi="Arial" w:cs="Arial"/>
                <w:sz w:val="24"/>
                <w:szCs w:val="24"/>
              </w:rPr>
              <w:t>Abertura do PAE inciso XV Dec. º 1.171</w:t>
            </w:r>
            <w:r w:rsidRPr="00483914">
              <w:rPr>
                <w:rFonts w:ascii="Arial" w:hAnsi="Arial" w:cs="Arial"/>
                <w:sz w:val="20"/>
                <w:szCs w:val="24"/>
              </w:rPr>
              <w:t xml:space="preserve"> (impossibilita proposta de ACPP)</w:t>
            </w:r>
          </w:p>
        </w:tc>
      </w:tr>
    </w:tbl>
    <w:p w:rsidR="000525B0" w:rsidRDefault="000525B0" w:rsidP="00483914">
      <w:pPr>
        <w:rPr>
          <w:rFonts w:ascii="Arial" w:hAnsi="Arial" w:cs="Arial"/>
          <w:b/>
          <w:sz w:val="24"/>
          <w:szCs w:val="24"/>
        </w:rPr>
      </w:pPr>
    </w:p>
    <w:p w:rsidR="001A6A68" w:rsidRPr="001A6A68" w:rsidRDefault="001A6A68" w:rsidP="00F75BE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bookmarkStart w:id="0" w:name="_GoBack"/>
      <w:bookmarkEnd w:id="0"/>
    </w:p>
    <w:sectPr w:rsidR="001A6A68" w:rsidRPr="001A6A6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937" w:rsidRDefault="009E6937">
      <w:pPr>
        <w:spacing w:after="0" w:line="240" w:lineRule="auto"/>
      </w:pPr>
      <w:r>
        <w:separator/>
      </w:r>
    </w:p>
  </w:endnote>
  <w:endnote w:type="continuationSeparator" w:id="0">
    <w:p w:rsidR="009E6937" w:rsidRDefault="009E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937" w:rsidRDefault="009E6937">
      <w:pPr>
        <w:spacing w:after="0" w:line="240" w:lineRule="auto"/>
      </w:pPr>
      <w:r>
        <w:separator/>
      </w:r>
    </w:p>
  </w:footnote>
  <w:footnote w:type="continuationSeparator" w:id="0">
    <w:p w:rsidR="009E6937" w:rsidRDefault="009E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032" w:rsidRDefault="009E6937">
    <w:pPr>
      <w:spacing w:line="14" w:lineRule="auto"/>
      <w:rPr>
        <w:sz w:val="20"/>
        <w:szCs w:val="20"/>
      </w:rPr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49" type="#_x0000_t202" style="position:absolute;margin-left:515.55pt;margin-top:29.4pt;width:16.2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rebsAIAALE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" filled="f" stroked="f">
          <v:textbox inset="0,0,0,0">
            <w:txbxContent>
              <w:p w:rsidR="00C41032" w:rsidRDefault="009E6937">
                <w:pPr>
                  <w:spacing w:line="246" w:lineRule="exact"/>
                  <w:ind w:left="40"/>
                  <w:rPr>
                    <w:rFonts w:ascii="Arial" w:eastAsia="Arial" w:hAnsi="Arial" w:cs="Aria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C1361"/>
    <w:multiLevelType w:val="hybridMultilevel"/>
    <w:tmpl w:val="5FEA2E8A"/>
    <w:lvl w:ilvl="0" w:tplc="3DD0E6BE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F3255"/>
    <w:multiLevelType w:val="hybridMultilevel"/>
    <w:tmpl w:val="4E7C71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700D"/>
    <w:multiLevelType w:val="hybridMultilevel"/>
    <w:tmpl w:val="F42CCF5E"/>
    <w:lvl w:ilvl="0" w:tplc="BCE2DB5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F53"/>
    <w:multiLevelType w:val="hybridMultilevel"/>
    <w:tmpl w:val="14F209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92F2B"/>
    <w:multiLevelType w:val="hybridMultilevel"/>
    <w:tmpl w:val="723848F6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509AD"/>
    <w:multiLevelType w:val="hybridMultilevel"/>
    <w:tmpl w:val="CDC463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341D7"/>
    <w:multiLevelType w:val="hybridMultilevel"/>
    <w:tmpl w:val="298E83A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52FC5"/>
    <w:multiLevelType w:val="hybridMultilevel"/>
    <w:tmpl w:val="C01ED946"/>
    <w:lvl w:ilvl="0" w:tplc="3DD0E6BE">
      <w:start w:val="1"/>
      <w:numFmt w:val="bullet"/>
      <w:lvlText w:val="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0B819C9"/>
    <w:multiLevelType w:val="hybridMultilevel"/>
    <w:tmpl w:val="EE4EC3F8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F24C2"/>
    <w:multiLevelType w:val="hybridMultilevel"/>
    <w:tmpl w:val="BDB20B32"/>
    <w:lvl w:ilvl="0" w:tplc="2998F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F5FAD"/>
    <w:multiLevelType w:val="hybridMultilevel"/>
    <w:tmpl w:val="F50EBB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032D8"/>
    <w:multiLevelType w:val="hybridMultilevel"/>
    <w:tmpl w:val="71EE3CAA"/>
    <w:lvl w:ilvl="0" w:tplc="0416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9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5B0"/>
    <w:rsid w:val="000525B0"/>
    <w:rsid w:val="00052E3C"/>
    <w:rsid w:val="001A6A68"/>
    <w:rsid w:val="002748C4"/>
    <w:rsid w:val="003D79A7"/>
    <w:rsid w:val="00483914"/>
    <w:rsid w:val="00544778"/>
    <w:rsid w:val="005B4C39"/>
    <w:rsid w:val="009E6937"/>
    <w:rsid w:val="00A15089"/>
    <w:rsid w:val="00A9741C"/>
    <w:rsid w:val="00AD56A3"/>
    <w:rsid w:val="00C02892"/>
    <w:rsid w:val="00F42F25"/>
    <w:rsid w:val="00F7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30519A3-F6D8-4022-9607-D035D3FE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link w:val="Heading6Char"/>
    <w:uiPriority w:val="9"/>
    <w:qFormat/>
    <w:rsid w:val="000525B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0525B0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Strong">
    <w:name w:val="Strong"/>
    <w:basedOn w:val="DefaultParagraphFont"/>
    <w:uiPriority w:val="22"/>
    <w:qFormat/>
    <w:rsid w:val="000525B0"/>
    <w:rPr>
      <w:b/>
      <w:bCs/>
    </w:rPr>
  </w:style>
  <w:style w:type="paragraph" w:styleId="ListParagraph">
    <w:name w:val="List Paragraph"/>
    <w:basedOn w:val="Normal"/>
    <w:uiPriority w:val="34"/>
    <w:qFormat/>
    <w:rsid w:val="000525B0"/>
    <w:pPr>
      <w:ind w:left="720"/>
      <w:contextualSpacing/>
    </w:pPr>
  </w:style>
  <w:style w:type="table" w:styleId="TableGrid">
    <w:name w:val="Table Grid"/>
    <w:basedOn w:val="TableNormal"/>
    <w:uiPriority w:val="39"/>
    <w:rsid w:val="0048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6A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1A6A68"/>
    <w:pPr>
      <w:widowControl w:val="0"/>
      <w:spacing w:after="0" w:line="240" w:lineRule="auto"/>
      <w:ind w:left="102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A6A68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Iury da Silva Pessoa</dc:creator>
  <cp:keywords/>
  <dc:description/>
  <cp:lastModifiedBy>Iury da Silva Pessoa</cp:lastModifiedBy>
  <cp:revision>2</cp:revision>
  <dcterms:created xsi:type="dcterms:W3CDTF">2019-05-07T21:45:00Z</dcterms:created>
  <dcterms:modified xsi:type="dcterms:W3CDTF">2019-05-07T21:45:00Z</dcterms:modified>
</cp:coreProperties>
</file>